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77777777" w:rsidR="00CA5BF5" w:rsidRDefault="003C537A" w:rsidP="00CA5BF5">
      <w:pPr>
        <w:pStyle w:val="F2-zkladn"/>
        <w:spacing w:line="276" w:lineRule="auto"/>
        <w:rPr>
          <w:b/>
          <w:sz w:val="28"/>
          <w:szCs w:val="28"/>
        </w:rPr>
      </w:pPr>
      <w:r>
        <w:rPr>
          <w:b/>
          <w:sz w:val="28"/>
          <w:szCs w:val="28"/>
        </w:rPr>
        <w:t>TISKOVÁ ZPRÁVA</w:t>
      </w:r>
    </w:p>
    <w:p w14:paraId="43BBD92F" w14:textId="280B7DCA"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317BF7">
        <w:t>2</w:t>
      </w:r>
      <w:r w:rsidR="00876AD9">
        <w:t>5</w:t>
      </w:r>
      <w:r w:rsidR="005420B4" w:rsidRPr="00893890">
        <w:t>.</w:t>
      </w:r>
      <w:r w:rsidR="00296EFF">
        <w:t xml:space="preserve"> </w:t>
      </w:r>
      <w:r w:rsidR="00F60E69">
        <w:t>srpna</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229901CA"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proofErr w:type="spellStart"/>
      <w:r>
        <w:rPr>
          <w:rStyle w:val="normaltextrun"/>
          <w:rFonts w:ascii="Arial" w:hAnsi="Arial" w:cs="Arial"/>
          <w:b/>
          <w:bCs/>
          <w:color w:val="000000"/>
          <w:sz w:val="28"/>
          <w:szCs w:val="28"/>
          <w:lang w:val="cs-CZ"/>
        </w:rPr>
        <w:t>Fidelity</w:t>
      </w:r>
      <w:proofErr w:type="spellEnd"/>
      <w:r>
        <w:rPr>
          <w:rStyle w:val="normaltextrun"/>
          <w:rFonts w:ascii="Arial" w:hAnsi="Arial" w:cs="Arial"/>
          <w:b/>
          <w:bCs/>
          <w:color w:val="000000"/>
          <w:sz w:val="28"/>
          <w:szCs w:val="28"/>
          <w:lang w:val="cs-CZ"/>
        </w:rPr>
        <w:t xml:space="preserve"> International: </w:t>
      </w:r>
      <w:r w:rsidR="00317BF7">
        <w:rPr>
          <w:rStyle w:val="normaltextrun"/>
          <w:rFonts w:ascii="Arial" w:hAnsi="Arial" w:cs="Arial"/>
          <w:b/>
          <w:bCs/>
          <w:color w:val="000000"/>
          <w:sz w:val="28"/>
          <w:szCs w:val="28"/>
          <w:lang w:val="cs-CZ"/>
        </w:rPr>
        <w:t>Co mají pod kapotou? „</w:t>
      </w:r>
      <w:proofErr w:type="spellStart"/>
      <w:r w:rsidR="00317BF7">
        <w:rPr>
          <w:rStyle w:val="normaltextrun"/>
          <w:rFonts w:ascii="Arial" w:hAnsi="Arial" w:cs="Arial"/>
          <w:b/>
          <w:bCs/>
          <w:color w:val="000000"/>
          <w:sz w:val="28"/>
          <w:szCs w:val="28"/>
          <w:lang w:val="cs-CZ"/>
        </w:rPr>
        <w:t>High-convinction</w:t>
      </w:r>
      <w:proofErr w:type="spellEnd"/>
      <w:r w:rsidR="00317BF7">
        <w:rPr>
          <w:rStyle w:val="normaltextrun"/>
          <w:rFonts w:ascii="Arial" w:hAnsi="Arial" w:cs="Arial"/>
          <w:b/>
          <w:bCs/>
          <w:color w:val="000000"/>
          <w:sz w:val="28"/>
          <w:szCs w:val="28"/>
          <w:lang w:val="cs-CZ"/>
        </w:rPr>
        <w:t>“ ETF při detailním pohledu</w:t>
      </w:r>
    </w:p>
    <w:p w14:paraId="0E889B6A" w14:textId="7BA4349E" w:rsidR="003C537A" w:rsidRDefault="00317BF7" w:rsidP="00D8553D">
      <w:pPr>
        <w:pStyle w:val="F2-zkladn"/>
        <w:rPr>
          <w:rFonts w:asciiTheme="minorHAnsi" w:hAnsiTheme="minorHAnsi" w:cstheme="minorHAnsi"/>
          <w:b/>
          <w:bCs/>
          <w:sz w:val="24"/>
          <w:szCs w:val="24"/>
        </w:rPr>
      </w:pPr>
      <w:r>
        <w:rPr>
          <w:rFonts w:asciiTheme="minorHAnsi" w:hAnsiTheme="minorHAnsi" w:cstheme="minorHAnsi"/>
          <w:b/>
          <w:bCs/>
          <w:sz w:val="24"/>
          <w:szCs w:val="24"/>
        </w:rPr>
        <w:t xml:space="preserve">Vzhledem k rostoucímu zájmu o aktivní ETF je důležité porozumět různým přístupům, které jsou investorům k dispozici. V tomto článku se zabýváme novou třídou aktivních ETF a vysvětlujeme, jak nedávný vývoj na trhu připravuje půdu pro vyšší úroveň aktivního výzkumu, který bude investorům poskytován prostřednictvím struktury ETF. </w:t>
      </w:r>
    </w:p>
    <w:p w14:paraId="29BED746" w14:textId="14EDE9A7" w:rsidR="004C6D56" w:rsidRPr="004C6D56" w:rsidRDefault="00317BF7" w:rsidP="004C6D56">
      <w:pPr>
        <w:pStyle w:val="Odstavecseseznamem"/>
        <w:numPr>
          <w:ilvl w:val="0"/>
          <w:numId w:val="48"/>
        </w:numPr>
      </w:pPr>
      <w:r>
        <w:t>Aktivní „</w:t>
      </w:r>
      <w:proofErr w:type="spellStart"/>
      <w:r>
        <w:t>high-convinction</w:t>
      </w:r>
      <w:proofErr w:type="spellEnd"/>
      <w:r>
        <w:t>“ ETF získávají v Evropě na popularitě jako jeden ze způsobů, jak investorům v rámci ETF poskytnout vyšší úroveň výzkumu.</w:t>
      </w:r>
    </w:p>
    <w:p w14:paraId="195560E3" w14:textId="3A249D66" w:rsidR="001D441A" w:rsidRPr="001D441A" w:rsidRDefault="00317BF7" w:rsidP="004C6D56">
      <w:pPr>
        <w:pStyle w:val="Odstavecseseznamem"/>
        <w:numPr>
          <w:ilvl w:val="0"/>
          <w:numId w:val="48"/>
        </w:numPr>
      </w:pPr>
      <w:r>
        <w:t>Detailnější výzkum znamená větší potenciál pro generování alfy, i když spolu s potenciálně vyšší chybovostí…</w:t>
      </w:r>
    </w:p>
    <w:p w14:paraId="7B72B0BD" w14:textId="4155E51A" w:rsidR="004C6D56" w:rsidRDefault="00317BF7" w:rsidP="004C6D56">
      <w:pPr>
        <w:pStyle w:val="Odstavecseseznamem"/>
        <w:numPr>
          <w:ilvl w:val="0"/>
          <w:numId w:val="48"/>
        </w:numPr>
      </w:pPr>
      <w:r>
        <w:t xml:space="preserve">Napůl průhledné struktury mohou nyní ty společnosti, které ETF poskytují, </w:t>
      </w:r>
      <w:r w:rsidR="00BD5A45">
        <w:t xml:space="preserve">v Evropě </w:t>
      </w:r>
      <w:r>
        <w:t>využívat k vlastnímu výzkumu a tvorbě aktivních pozic, čímž investorům poskytují přístup k novým nástrojům pro jejich portfolia.</w:t>
      </w:r>
    </w:p>
    <w:p w14:paraId="026BC370" w14:textId="3F885041" w:rsidR="00D54CB0" w:rsidRDefault="00D54CB0" w:rsidP="00D54CB0">
      <w:r>
        <w:t>V Evropě je většina aktivních ETF, kter</w:t>
      </w:r>
      <w:r w:rsidR="00411B33">
        <w:t>á</w:t>
      </w:r>
      <w:r>
        <w:t xml:space="preserve"> byl</w:t>
      </w:r>
      <w:r w:rsidR="00411B33">
        <w:t>a</w:t>
      </w:r>
      <w:r>
        <w:t xml:space="preserve"> dosud uveden</w:t>
      </w:r>
      <w:r w:rsidR="00E75C18">
        <w:t>a</w:t>
      </w:r>
      <w:r>
        <w:t xml:space="preserve"> na trh, orientována podle referenčního indexu. Tato ETF mohou obsahovat řadu signálů, které je možné analyzovat tak, aby se dalo určit, které cenné papíry budou ve srovnání s referenčním indexem nadhodnoceny nebo podhodnoceny. Zaujímají mírně aktivní pozice na úrovni jednotlivých cenných papírů, přičemž samotná alokace těchto cenných papírů ve vztahu k referenčnímu indexu (například sektor, země nebo styl) je omezená, aby bylo zajištěno, že portfolio nabízí podobné charakteristiky jako širší trh.</w:t>
      </w:r>
    </w:p>
    <w:p w14:paraId="7B3560DF" w14:textId="77777777" w:rsidR="00D54CB0" w:rsidRDefault="00D54CB0" w:rsidP="00D54CB0">
      <w:r>
        <w:t>Aktivní ETF s vyšším rizikem (</w:t>
      </w:r>
      <w:proofErr w:type="spellStart"/>
      <w:r>
        <w:t>higher</w:t>
      </w:r>
      <w:proofErr w:type="spellEnd"/>
      <w:r>
        <w:t xml:space="preserve"> </w:t>
      </w:r>
      <w:proofErr w:type="spellStart"/>
      <w:r>
        <w:t>conviction</w:t>
      </w:r>
      <w:proofErr w:type="spellEnd"/>
      <w:r>
        <w:t>) představují nová ETF dostupná investorům a posouvají se dále po spektru rizika a výnosu. Tato aktivní ETF mají méně omezení a využívají poznatky z výzkumu promyšlenějším způsobem tím, že zaujímají aktivnější pozice v odvětvích nebo u konkrétních akcií ve srovnání se svými referenčními indexy, aby dosáhly vyšší úrovně alfy.</w:t>
      </w:r>
    </w:p>
    <w:p w14:paraId="1023DF9A" w14:textId="75EE6086" w:rsidR="00D54CB0" w:rsidRDefault="00D54CB0" w:rsidP="00D54CB0">
      <w:r>
        <w:t>Mohou proto sloužit i jako strategické nástroje při dlouhodobých strategiích alokace aktiv, které investorům umožňují zabudovat alfu přímo do centra jejich portfolií a zároveň nabízejí flexibilitu pro zachování taktického přístupu v průběhu tržních cyklů. Se správným zaměřením (například na určitý trh nebo sektor) mohou být použity jako základní stavební kameny v rámci širších portfolií.</w:t>
      </w:r>
    </w:p>
    <w:p w14:paraId="79F33F6A" w14:textId="73141A2D" w:rsidR="00D822F6" w:rsidRDefault="00D54CB0" w:rsidP="00D822F6">
      <w:pPr>
        <w:rPr>
          <w:b/>
          <w:bCs/>
        </w:rPr>
      </w:pPr>
      <w:r>
        <w:rPr>
          <w:b/>
          <w:bCs/>
        </w:rPr>
        <w:t>Transparentnost a začlenění výzkumu</w:t>
      </w:r>
    </w:p>
    <w:p w14:paraId="03D4AFFC" w14:textId="77777777" w:rsidR="001D441A" w:rsidRDefault="001D441A" w:rsidP="001D441A">
      <w:pPr>
        <w:shd w:val="clear" w:color="auto" w:fill="FFFFFF"/>
        <w:spacing w:before="0" w:after="140" w:line="240" w:lineRule="auto"/>
        <w:jc w:val="left"/>
        <w:rPr>
          <w:color w:val="20242B"/>
          <w:sz w:val="16"/>
          <w:szCs w:val="16"/>
        </w:rPr>
      </w:pPr>
    </w:p>
    <w:p w14:paraId="73D15292" w14:textId="77777777" w:rsidR="00D54CB0" w:rsidRDefault="00D54CB0" w:rsidP="00D54CB0">
      <w:proofErr w:type="spellStart"/>
      <w:r>
        <w:t>Higher-convinction</w:t>
      </w:r>
      <w:proofErr w:type="spellEnd"/>
      <w:r>
        <w:t xml:space="preserve"> neboli přesvědčivější přístup vyvolává relevantní otázku: jak lze v rámci struktury ETF chránit duševní vlastnictví aktivního řízení portfolia?</w:t>
      </w:r>
    </w:p>
    <w:p w14:paraId="40599390" w14:textId="77777777" w:rsidR="00D54CB0" w:rsidRDefault="00D54CB0" w:rsidP="00D54CB0">
      <w:r>
        <w:t xml:space="preserve">ETF jsou tradičně plně transparentní – denně zveřejňují úplné informace o svých pozicích. To však pravděpodobně omezuje možnost implementace aktivních strategií v rámci ETF. V určitých částech trhu, například v dolní části spektra trhu, kde je nízká kapitalizace, může transparentnost ohledně pozic </w:t>
      </w:r>
      <w:r>
        <w:lastRenderedPageBreak/>
        <w:t>ovlivnit výkonnost, protože „prozrazujete“ svůj výzkum – plně transparentní ETF v podstatě sdělují trhu, jaké obchody zrovna nastaly.</w:t>
      </w:r>
    </w:p>
    <w:p w14:paraId="477EE423" w14:textId="77777777" w:rsidR="00D54CB0" w:rsidRDefault="00D54CB0" w:rsidP="00D54CB0">
      <w:r>
        <w:t xml:space="preserve">Je však třeba říci, že postoje k transparentnosti se nyní mění a regulační orgány začínají povolovat </w:t>
      </w:r>
      <w:proofErr w:type="spellStart"/>
      <w:r>
        <w:t>polotransparentní</w:t>
      </w:r>
      <w:proofErr w:type="spellEnd"/>
      <w:r>
        <w:t xml:space="preserve"> struktury. V USA existují již od roku 2020, ale CSSF uvolnila svůj postoj k transparentnosti pro ETF se sídlem v Lucembursku až v prosinci 2024. Následoval podobný krok irské centrální banky pro ETF se sídlem v Irsku v dubnu tohoto roku; to představuje většinu ETF v Evropě.</w:t>
      </w:r>
    </w:p>
    <w:p w14:paraId="6A02F0F9" w14:textId="77777777" w:rsidR="00D54CB0" w:rsidRDefault="00D54CB0" w:rsidP="00D54CB0">
      <w:r>
        <w:t>Znamená to, že poskytovatelé mají nyní větší flexibilitu a více možností, pokud jde o zveřejňování informací. To zase umožní evropským investorům získat prostřednictvím ETF větší množství informací o vlastněných aktivech a odborných znalostí.</w:t>
      </w:r>
    </w:p>
    <w:p w14:paraId="47E953DA" w14:textId="77777777" w:rsidR="00D54CB0" w:rsidRDefault="00D54CB0" w:rsidP="00D54CB0">
      <w:pPr>
        <w:shd w:val="clear" w:color="auto" w:fill="FFFFFF"/>
        <w:spacing w:before="0" w:after="140" w:line="360" w:lineRule="auto"/>
        <w:rPr>
          <w:b/>
          <w:bCs/>
        </w:rPr>
      </w:pPr>
    </w:p>
    <w:p w14:paraId="626B5AA7" w14:textId="2B67E727" w:rsidR="00D54CB0" w:rsidRPr="0086275F" w:rsidRDefault="00D54CB0" w:rsidP="00D54CB0">
      <w:pPr>
        <w:shd w:val="clear" w:color="auto" w:fill="FFFFFF"/>
        <w:spacing w:before="0" w:after="140" w:line="360" w:lineRule="auto"/>
        <w:rPr>
          <w:b/>
          <w:bCs/>
        </w:rPr>
      </w:pPr>
      <w:r>
        <w:rPr>
          <w:b/>
          <w:bCs/>
        </w:rPr>
        <w:t>Jaké jsou požadavky na produkty s částečnou transparentností?</w:t>
      </w:r>
    </w:p>
    <w:p w14:paraId="5A82C5F9" w14:textId="19F0B826" w:rsidR="00D54CB0" w:rsidRDefault="00D54CB0" w:rsidP="00D54CB0">
      <w:r>
        <w:t>Irská centrální banka přijala přístup založený na principech, který umožňuje emitentům ETF navrhnout nezbytné procesy pro usnadnění splnění požadavků:</w:t>
      </w:r>
    </w:p>
    <w:p w14:paraId="2A07E053" w14:textId="2CD625F9" w:rsidR="00D54CB0" w:rsidRDefault="00D54CB0" w:rsidP="00D54CB0">
      <w:r>
        <w:t>1.</w:t>
      </w:r>
      <w:r>
        <w:tab/>
        <w:t>Denní zveřejňování: Aby byl zajištěn účinný arbitrážní mechanismus, musí být každý den zveřejňovány příslušné informace.</w:t>
      </w:r>
    </w:p>
    <w:p w14:paraId="0B35873A" w14:textId="77777777" w:rsidR="00D54CB0" w:rsidRDefault="00D54CB0" w:rsidP="00D54CB0">
      <w:r>
        <w:t>2.    Informace v prospektu: Prospekt by měl podrobně uvádět typ informací, které jsou denně zveřejňovány.</w:t>
      </w:r>
    </w:p>
    <w:p w14:paraId="1F9182F4" w14:textId="77777777" w:rsidR="00D54CB0" w:rsidRDefault="00D54CB0" w:rsidP="00D54CB0">
      <w:r>
        <w:t>3.    Nediskriminační přístup: Tyto informace musí být poskytovány na nediskriminačním základě autorizovaným účastníkům a tvůrcům trhu.</w:t>
      </w:r>
    </w:p>
    <w:p w14:paraId="2C599E0A" w14:textId="77777777" w:rsidR="00D54CB0" w:rsidRDefault="00D54CB0" w:rsidP="00D54CB0">
      <w:r>
        <w:t>4.    Postupy arbitrážního mechanismu: Měly by existovat zdokumentované postupy pro řešení situací, kdy je arbitrážní mechanismus ETF narušen.</w:t>
      </w:r>
    </w:p>
    <w:p w14:paraId="05109F7B" w14:textId="77777777" w:rsidR="00D54CB0" w:rsidRDefault="00D54CB0" w:rsidP="00D54CB0">
      <w:r>
        <w:t xml:space="preserve">5.    Žádosti investorů: Musí existovat zdokumentovaný postup, podle kterého mohou investoři žádat o informace o portfoliu. </w:t>
      </w:r>
    </w:p>
    <w:p w14:paraId="69C2EDD9" w14:textId="77777777" w:rsidR="00D54CB0" w:rsidRDefault="00D54CB0" w:rsidP="00D54CB0">
      <w:r>
        <w:t>6.    Čtvrtletní zveřejňování informací o portfoliu: Informace o portfoliu ke konci každého kalendářního čtvrtletí musí být zveřejněny do 30 pracovních dnů od konce čtvrtletí.</w:t>
      </w:r>
    </w:p>
    <w:p w14:paraId="68233C8B" w14:textId="2E7B8053" w:rsidR="005A47B7" w:rsidRPr="005A47B7" w:rsidRDefault="00D54CB0" w:rsidP="00D54CB0">
      <w:r>
        <w:t>Postupy stanovené s autorizovanými účastníky jsou nezbytné k zajištění toho, aby poskytovatelé likvidity měli dostatečný přístup k informacím nezbytným pro její udržení.</w:t>
      </w:r>
    </w:p>
    <w:p w14:paraId="515BFC34" w14:textId="77777777" w:rsidR="0086275F" w:rsidRDefault="0086275F" w:rsidP="001D441A">
      <w:pPr>
        <w:shd w:val="clear" w:color="auto" w:fill="FFFFFF"/>
        <w:spacing w:before="0" w:after="140" w:line="360" w:lineRule="auto"/>
      </w:pPr>
    </w:p>
    <w:p w14:paraId="3C6DE005" w14:textId="271C0188" w:rsidR="00893807" w:rsidRDefault="00D54CB0" w:rsidP="00893807">
      <w:pPr>
        <w:shd w:val="clear" w:color="auto" w:fill="FFFFFF"/>
        <w:spacing w:before="0" w:after="140" w:line="360" w:lineRule="auto"/>
        <w:rPr>
          <w:b/>
          <w:bCs/>
        </w:rPr>
      </w:pPr>
      <w:r>
        <w:rPr>
          <w:b/>
          <w:bCs/>
        </w:rPr>
        <w:t>Co to znamená pro investory?</w:t>
      </w:r>
    </w:p>
    <w:p w14:paraId="0A7DE322" w14:textId="77777777" w:rsidR="00D54CB0" w:rsidRDefault="00D54CB0" w:rsidP="00D54CB0">
      <w:r>
        <w:t>Všechny tyto změny by mohly připravit půdu pro novou vlnu ETF fondů využívajících nové nebo stávající strategie, které ale dosud nebyly v rámci ETF fondů vhodné. Nezveřejňováním všech informací o portfoliu je chráněno duševní vlastnictví a aktivní výzkum. Poznatky tak mohou být začleněny hlouběji, což otevírá cestu k potenciálně vyšším alfám pro investory. To je zvláště důležité pro emitenty a pro strategie, které se silně opírají o výzkum.</w:t>
      </w:r>
    </w:p>
    <w:p w14:paraId="57D7A294" w14:textId="6D23F572" w:rsidR="00C515AA" w:rsidRDefault="00D54CB0" w:rsidP="00D54CB0">
      <w:r>
        <w:lastRenderedPageBreak/>
        <w:t xml:space="preserve">Investoři tak mohou získat přístup k příležitostem s vyšším alfa díky strategiím, které zaujímají větší aktivní pozice a vyšší koncentraci. Zároveň mohou těžit z klíčových charakteristik ETF, jako je </w:t>
      </w:r>
      <w:proofErr w:type="spellStart"/>
      <w:r>
        <w:t>intradenní</w:t>
      </w:r>
      <w:proofErr w:type="spellEnd"/>
      <w:r>
        <w:t xml:space="preserve"> obchodování.</w:t>
      </w:r>
    </w:p>
    <w:p w14:paraId="6F8C93C6" w14:textId="77777777" w:rsidR="00D54CB0" w:rsidRPr="00D54CB0" w:rsidRDefault="00D54CB0" w:rsidP="00D54CB0">
      <w:pPr>
        <w:pStyle w:val="F2-zkladn"/>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proofErr w:type="spellStart"/>
      <w:r>
        <w:t>gsm</w:t>
      </w:r>
      <w:proofErr w:type="spellEnd"/>
      <w:r>
        <w:t>: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6695BBCE" w14:textId="77777777" w:rsidR="005A5AB1" w:rsidRPr="005A5AB1" w:rsidRDefault="005A5AB1" w:rsidP="002027ED">
      <w:pPr>
        <w:pStyle w:val="F2-zkladn"/>
      </w:pPr>
    </w:p>
    <w:p w14:paraId="1952AD39"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lastRenderedPageBreak/>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7E4DE9"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0A340423"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76D5F0CE" w:rsidR="00D20058" w:rsidRDefault="006078A6" w:rsidP="001D441A">
      <w:pPr>
        <w:pStyle w:val="F2-zkladn"/>
      </w:pPr>
      <w:r w:rsidRPr="006078A6">
        <w:rPr>
          <w:lang w:val="de-AT"/>
        </w:rPr>
        <w:t>MKAT13193</w:t>
      </w:r>
    </w:p>
    <w:sectPr w:rsidR="00D20058"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A1F1" w14:textId="77777777" w:rsidR="00B0165E" w:rsidRDefault="00B0165E">
      <w:r>
        <w:separator/>
      </w:r>
    </w:p>
  </w:endnote>
  <w:endnote w:type="continuationSeparator" w:id="0">
    <w:p w14:paraId="3C30F96E" w14:textId="77777777" w:rsidR="00B0165E" w:rsidRDefault="00B0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6787" w14:textId="77777777" w:rsidR="00B0165E" w:rsidRDefault="00B0165E">
      <w:r>
        <w:separator/>
      </w:r>
    </w:p>
  </w:footnote>
  <w:footnote w:type="continuationSeparator" w:id="0">
    <w:p w14:paraId="1C93FB3D" w14:textId="77777777" w:rsidR="00B0165E" w:rsidRDefault="00B0165E">
      <w:r>
        <w:continuationSeparator/>
      </w:r>
    </w:p>
  </w:footnote>
  <w:footnote w:type="continuationNotice" w:id="1">
    <w:p w14:paraId="28014FEB" w14:textId="77777777" w:rsidR="00B0165E" w:rsidRDefault="00B01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7"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39"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8"/>
  </w:num>
  <w:num w:numId="3" w16cid:durableId="1213884590">
    <w:abstractNumId w:val="45"/>
  </w:num>
  <w:num w:numId="4" w16cid:durableId="249312893">
    <w:abstractNumId w:val="24"/>
  </w:num>
  <w:num w:numId="5" w16cid:durableId="315694586">
    <w:abstractNumId w:val="26"/>
  </w:num>
  <w:num w:numId="6" w16cid:durableId="108403674">
    <w:abstractNumId w:val="22"/>
  </w:num>
  <w:num w:numId="7" w16cid:durableId="604575006">
    <w:abstractNumId w:val="43"/>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6"/>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2"/>
  </w:num>
  <w:num w:numId="27" w16cid:durableId="769544694">
    <w:abstractNumId w:val="33"/>
  </w:num>
  <w:num w:numId="28" w16cid:durableId="424962738">
    <w:abstractNumId w:val="21"/>
  </w:num>
  <w:num w:numId="29" w16cid:durableId="1088423855">
    <w:abstractNumId w:val="23"/>
  </w:num>
  <w:num w:numId="30" w16cid:durableId="838152150">
    <w:abstractNumId w:val="25"/>
  </w:num>
  <w:num w:numId="31" w16cid:durableId="771709832">
    <w:abstractNumId w:val="37"/>
  </w:num>
  <w:num w:numId="32" w16cid:durableId="1570068625">
    <w:abstractNumId w:val="46"/>
  </w:num>
  <w:num w:numId="33" w16cid:durableId="280261214">
    <w:abstractNumId w:val="32"/>
  </w:num>
  <w:num w:numId="34" w16cid:durableId="1755005586">
    <w:abstractNumId w:val="44"/>
  </w:num>
  <w:num w:numId="35" w16cid:durableId="975062918">
    <w:abstractNumId w:val="48"/>
  </w:num>
  <w:num w:numId="36" w16cid:durableId="65340861">
    <w:abstractNumId w:val="15"/>
  </w:num>
  <w:num w:numId="37" w16cid:durableId="369651298">
    <w:abstractNumId w:val="41"/>
  </w:num>
  <w:num w:numId="38" w16cid:durableId="561336543">
    <w:abstractNumId w:val="17"/>
  </w:num>
  <w:num w:numId="39" w16cid:durableId="993333316">
    <w:abstractNumId w:val="31"/>
  </w:num>
  <w:num w:numId="40" w16cid:durableId="945430004">
    <w:abstractNumId w:val="39"/>
  </w:num>
  <w:num w:numId="41" w16cid:durableId="1123378030">
    <w:abstractNumId w:val="47"/>
  </w:num>
  <w:num w:numId="42" w16cid:durableId="2118477175">
    <w:abstractNumId w:val="28"/>
  </w:num>
  <w:num w:numId="43" w16cid:durableId="1760370648">
    <w:abstractNumId w:val="40"/>
  </w:num>
  <w:num w:numId="44" w16cid:durableId="624894503">
    <w:abstractNumId w:val="19"/>
  </w:num>
  <w:num w:numId="45" w16cid:durableId="868492869">
    <w:abstractNumId w:val="49"/>
  </w:num>
  <w:num w:numId="46" w16cid:durableId="321738993">
    <w:abstractNumId w:val="27"/>
  </w:num>
  <w:num w:numId="47" w16cid:durableId="1931890237">
    <w:abstractNumId w:val="34"/>
  </w:num>
  <w:num w:numId="48" w16cid:durableId="1621035614">
    <w:abstractNumId w:val="12"/>
  </w:num>
  <w:num w:numId="49" w16cid:durableId="625696803">
    <w:abstractNumId w:val="30"/>
  </w:num>
  <w:num w:numId="50" w16cid:durableId="1830244003">
    <w:abstractNumId w:val="35"/>
  </w:num>
  <w:num w:numId="51" w16cid:durableId="2144299643">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7127"/>
    <w:rsid w:val="000E7418"/>
    <w:rsid w:val="000F02A2"/>
    <w:rsid w:val="000F0587"/>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2936"/>
    <w:rsid w:val="001E2B0D"/>
    <w:rsid w:val="001E476B"/>
    <w:rsid w:val="001E507C"/>
    <w:rsid w:val="001E53EB"/>
    <w:rsid w:val="001E57AB"/>
    <w:rsid w:val="001E67FF"/>
    <w:rsid w:val="001E6913"/>
    <w:rsid w:val="001E6C4F"/>
    <w:rsid w:val="001F1241"/>
    <w:rsid w:val="001F1A22"/>
    <w:rsid w:val="001F2C9A"/>
    <w:rsid w:val="001F4B06"/>
    <w:rsid w:val="001F5BD4"/>
    <w:rsid w:val="001F627F"/>
    <w:rsid w:val="001F65C1"/>
    <w:rsid w:val="002006D5"/>
    <w:rsid w:val="00201CD7"/>
    <w:rsid w:val="002027ED"/>
    <w:rsid w:val="00202F64"/>
    <w:rsid w:val="00203977"/>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40FEC"/>
    <w:rsid w:val="0024226C"/>
    <w:rsid w:val="002423A0"/>
    <w:rsid w:val="002438EA"/>
    <w:rsid w:val="00243F5F"/>
    <w:rsid w:val="00245331"/>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E2F"/>
    <w:rsid w:val="003114D0"/>
    <w:rsid w:val="00311AE0"/>
    <w:rsid w:val="00311D2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81E63"/>
    <w:rsid w:val="00382A16"/>
    <w:rsid w:val="00383735"/>
    <w:rsid w:val="00383E57"/>
    <w:rsid w:val="00384699"/>
    <w:rsid w:val="00386215"/>
    <w:rsid w:val="003864E2"/>
    <w:rsid w:val="003866DC"/>
    <w:rsid w:val="003872AC"/>
    <w:rsid w:val="003900AC"/>
    <w:rsid w:val="00390999"/>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7F"/>
    <w:rsid w:val="00640475"/>
    <w:rsid w:val="006404A9"/>
    <w:rsid w:val="006419BA"/>
    <w:rsid w:val="00641D35"/>
    <w:rsid w:val="00641F34"/>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9D3"/>
    <w:rsid w:val="006D06F9"/>
    <w:rsid w:val="006D0805"/>
    <w:rsid w:val="006D0AA8"/>
    <w:rsid w:val="006D2153"/>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D1E"/>
    <w:rsid w:val="00AF6D11"/>
    <w:rsid w:val="00AF76C6"/>
    <w:rsid w:val="00B0165E"/>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C56"/>
    <w:rsid w:val="00B24AE7"/>
    <w:rsid w:val="00B25103"/>
    <w:rsid w:val="00B27A8F"/>
    <w:rsid w:val="00B27B2E"/>
    <w:rsid w:val="00B27CF4"/>
    <w:rsid w:val="00B31421"/>
    <w:rsid w:val="00B31D2B"/>
    <w:rsid w:val="00B31E2C"/>
    <w:rsid w:val="00B32E44"/>
    <w:rsid w:val="00B336AA"/>
    <w:rsid w:val="00B34173"/>
    <w:rsid w:val="00B34B98"/>
    <w:rsid w:val="00B362ED"/>
    <w:rsid w:val="00B36952"/>
    <w:rsid w:val="00B375B6"/>
    <w:rsid w:val="00B40432"/>
    <w:rsid w:val="00B410C1"/>
    <w:rsid w:val="00B4166B"/>
    <w:rsid w:val="00B418ED"/>
    <w:rsid w:val="00B42554"/>
    <w:rsid w:val="00B42703"/>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2970"/>
    <w:rsid w:val="00BC34F6"/>
    <w:rsid w:val="00BC4EF0"/>
    <w:rsid w:val="00BC6E99"/>
    <w:rsid w:val="00BC7C00"/>
    <w:rsid w:val="00BD0CA7"/>
    <w:rsid w:val="00BD1EFB"/>
    <w:rsid w:val="00BD223A"/>
    <w:rsid w:val="00BD2B9E"/>
    <w:rsid w:val="00BD57C8"/>
    <w:rsid w:val="00BD5879"/>
    <w:rsid w:val="00BD5A0C"/>
    <w:rsid w:val="00BD5A45"/>
    <w:rsid w:val="00BD5B58"/>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715FD"/>
    <w:rsid w:val="00E71601"/>
    <w:rsid w:val="00E718F8"/>
    <w:rsid w:val="00E71F11"/>
    <w:rsid w:val="00E729F5"/>
    <w:rsid w:val="00E736B3"/>
    <w:rsid w:val="00E73C8D"/>
    <w:rsid w:val="00E758D8"/>
    <w:rsid w:val="00E75C18"/>
    <w:rsid w:val="00E76BE0"/>
    <w:rsid w:val="00E7728D"/>
    <w:rsid w:val="00E7795C"/>
    <w:rsid w:val="00E77F48"/>
    <w:rsid w:val="00E80B69"/>
    <w:rsid w:val="00E83C37"/>
    <w:rsid w:val="00E87B8E"/>
    <w:rsid w:val="00E900D1"/>
    <w:rsid w:val="00E90673"/>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77AF"/>
    <w:rsid w:val="00FC79C6"/>
    <w:rsid w:val="00FD00C2"/>
    <w:rsid w:val="00FD0991"/>
    <w:rsid w:val="00FD1226"/>
    <w:rsid w:val="00FD4FDA"/>
    <w:rsid w:val="00FD620B"/>
    <w:rsid w:val="00FD6B02"/>
    <w:rsid w:val="00FE0037"/>
    <w:rsid w:val="00FE0B7F"/>
    <w:rsid w:val="00FE0F32"/>
    <w:rsid w:val="00FE11DF"/>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9035</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10545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2025-08-25T09:59:00Z</dcterms:created>
  <dcterms:modified xsi:type="dcterms:W3CDTF">2025-08-25T09:59:00Z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